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0" w:right="0" w:firstLine="0"/>
        <w:jc w:val="center"/>
        <w:keepLines/>
        <w:keepNext/>
        <w:spacing w:before="0" w:after="0" w:line="240" w:lineRule="atLeast"/>
        <w:shd w:val="clear" w:color="auto" w:fill="ffffff"/>
        <w:rPr>
          <w:rFonts w:ascii="PT Astra Serif" w:hAnsi="PT Astra Serif" w:cs="PT Astra Serif"/>
          <w:b/>
          <w:bCs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ru-RU"/>
        </w:rPr>
        <w:t xml:space="preserve">Реестр Оператора ГИС РС ЕГИСЗ 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</w:r>
    </w:p>
    <w:p>
      <w:pPr>
        <w:pStyle w:val="838"/>
        <w:ind w:left="0" w:right="0" w:firstLine="0"/>
        <w:jc w:val="center"/>
        <w:keepLines/>
        <w:keepNext/>
        <w:spacing w:before="0" w:after="0" w:line="240" w:lineRule="atLeast"/>
        <w:shd w:val="clear" w:color="auto" w:fill="ffffff"/>
        <w:rPr>
          <w:rFonts w:ascii="PT Astra Serif" w:hAnsi="PT Astra Serif" w:cs="PT Astra Serif"/>
          <w:b/>
          <w:bCs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ru-RU"/>
        </w:rPr>
        <w:t xml:space="preserve">«Внешние информационные системы и регламенты взаимодействия»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tLeast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lang w:val="ru-RU" w:bidi="ru-RU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tbl>
      <w:tblPr>
        <w:tblStyle w:val="833"/>
        <w:tblW w:w="0" w:type="auto"/>
        <w:jc w:val="center"/>
        <w:tblInd w:w="-8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4757"/>
        <w:gridCol w:w="3402"/>
      </w:tblGrid>
      <w:tr>
        <w:tblPrEx/>
        <w:trPr>
          <w:jc w:val="center"/>
          <w:trHeight w:val="8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center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Наименование внешней системы</w:t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Оператор</w:t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</w:r>
          </w:p>
        </w:tc>
      </w:tr>
      <w:tr>
        <w:tblPrEx/>
        <w:trPr>
          <w:jc w:val="center"/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Информационная система Территориального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фонда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 Удмуртской Республики (ИС ТФОМС УР)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Территориальный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фонда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 Удмуртской Республики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:lang w:val="ru-RU" w:bidi="ru-RU"/>
              </w:rPr>
              <w:t xml:space="preserve">ГИС «Единая централизованная цифровая платформа в социальной сфере» (ГИС ЕЦП)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Социальный фонд России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Единой государственной информационной системы социального обеспечения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Социальный фонд России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Государственная информационная система обязательного медицинского страхования «ГИС ОМС»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Федеральный фонд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Федеральная государственная информационная система в сфере здравоохранения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 (ЕГИСЗ)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Министерство здравоохранения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Государственная информационная система Удмуртской Республики «Система предоставления государственных и муниципальных услуг по принципу «одного окна» в Удмуртской Республике»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ГИС МФЦ УР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Министерство цифрового развития Удмуртской Республики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ЕПГУ)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Министерство цифрового развития, связи и массовых коммуникаций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льных услуг в электронной форме» (ЕСИА)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Министерство цифрового развития, связи и массовых коммуникаций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Федеральная государственная информационная система мониторинга движения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лекарственных препаратов от производителя до конечного потребителя с использованием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маркировки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(ФГИС МДЛП)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Министерство здравоохранения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  <w:tr>
        <w:tblPrEx/>
        <w:trPr>
          <w:trHeight w:val="51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475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  <w:t xml:space="preserve">ИС «Дополнительное льготное обеспечение»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left="0" w:right="0" w:firstLine="0"/>
              <w:jc w:val="center"/>
              <w:spacing w:before="0" w:after="0" w:line="264" w:lineRule="exact"/>
              <w:shd w:val="clear" w:color="auto" w:fill="ffff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  <w:t xml:space="preserve">ГУП УР «ФАРМАЦИЯ»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00603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4HpsЂ|ЂrЂ[ 7?2"/>
    <w:pPr>
      <w:contextualSpacing w:val="0"/>
      <w:ind w:left="0" w:right="0" w:firstLine="709"/>
      <w:jc w:val="center"/>
      <w:keepLines w:val="0"/>
      <w:keepNext w:val="0"/>
      <w:pageBreakBefore w:val="0"/>
      <w:spacing w:before="0" w:beforeAutospacing="0" w:after="54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39" w:customStyle="1">
    <w:name w:val="4O??Ђ????Ђ? ??444?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64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tsipliakova</cp:lastModifiedBy>
  <cp:revision>4</cp:revision>
  <dcterms:modified xsi:type="dcterms:W3CDTF">2025-12-03T12:30:15Z</dcterms:modified>
</cp:coreProperties>
</file>