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9F" w:rsidRPr="00966D26" w:rsidRDefault="00114AAC" w:rsidP="0090099F">
      <w:pPr>
        <w:jc w:val="center"/>
        <w:rPr>
          <w:b/>
          <w:i/>
          <w:sz w:val="28"/>
          <w:szCs w:val="28"/>
        </w:rPr>
      </w:pPr>
      <w:r w:rsidRPr="00966D26">
        <w:rPr>
          <w:b/>
          <w:i/>
          <w:sz w:val="28"/>
          <w:szCs w:val="28"/>
        </w:rPr>
        <w:t>Алгоритм ведения пациента с остеоартрозом коленных (тазобедренных) суставов</w:t>
      </w:r>
    </w:p>
    <w:p w:rsidR="0090099F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2" style="position:absolute;margin-left:181.2pt;margin-top:10.9pt;width:150pt;height:27pt;flip:y;z-index:19">
            <v:textbox>
              <w:txbxContent>
                <w:p w:rsidR="00EA646D" w:rsidRPr="00A43367" w:rsidRDefault="00EA646D" w:rsidP="00114AAC">
                  <w:pPr>
                    <w:jc w:val="center"/>
                  </w:pPr>
                  <w:r w:rsidRPr="00A43367">
                    <w:t>Первое посещение врача</w:t>
                  </w:r>
                </w:p>
                <w:p w:rsidR="00EA646D" w:rsidRDefault="00EA646D" w:rsidP="00EA646D"/>
              </w:txbxContent>
            </v:textbox>
          </v:rect>
        </w:pict>
      </w:r>
      <w:r w:rsidR="0090099F">
        <w:rPr>
          <w:sz w:val="28"/>
          <w:szCs w:val="28"/>
        </w:rPr>
        <w:t xml:space="preserve">         </w:t>
      </w:r>
    </w:p>
    <w:p w:rsidR="00A43367" w:rsidRDefault="00A43367" w:rsidP="0090099F">
      <w:pPr>
        <w:rPr>
          <w:sz w:val="28"/>
          <w:szCs w:val="28"/>
        </w:rPr>
      </w:pPr>
    </w:p>
    <w:p w:rsidR="00A43367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7" type="#_x0000_t67" style="position:absolute;margin-left:243.6pt;margin-top:5.7pt;width:14.4pt;height:18pt;z-index:20"/>
        </w:pict>
      </w:r>
    </w:p>
    <w:p w:rsidR="00A43367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-6pt;margin-top:7.6pt;width:542.4pt;height:36pt;z-index:1">
            <v:textbox style="mso-next-textbox:#_x0000_s1030">
              <w:txbxContent>
                <w:p w:rsidR="0090099F" w:rsidRDefault="0090099F">
                  <w:r>
                    <w:t xml:space="preserve">Клиническая диагностика остеоартроза коленных суставов </w:t>
                  </w:r>
                  <w:r w:rsidR="003F703C">
                    <w:t>(</w:t>
                  </w:r>
                  <w:r>
                    <w:t xml:space="preserve">рентгенография при подозрении на </w:t>
                  </w:r>
                  <w:proofErr w:type="spellStart"/>
                  <w:r>
                    <w:t>остеоартроз</w:t>
                  </w:r>
                  <w:proofErr w:type="spellEnd"/>
                  <w:r>
                    <w:t xml:space="preserve"> тазобедренных суставов</w:t>
                  </w:r>
                  <w:r w:rsidR="003F703C">
                    <w:t>)</w:t>
                  </w:r>
                </w:p>
              </w:txbxContent>
            </v:textbox>
          </v:shape>
        </w:pict>
      </w:r>
    </w:p>
    <w:p w:rsidR="00A43367" w:rsidRDefault="00A43367" w:rsidP="0090099F">
      <w:pPr>
        <w:rPr>
          <w:sz w:val="28"/>
          <w:szCs w:val="28"/>
        </w:rPr>
      </w:pPr>
    </w:p>
    <w:p w:rsidR="00A43367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67" style="position:absolute;margin-left:243.6pt;margin-top:11.4pt;width:14.4pt;height:18pt;z-index:22"/>
        </w:pict>
      </w:r>
    </w:p>
    <w:p w:rsidR="00A43367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margin-left:-7.2pt;margin-top:13.3pt;width:544.8pt;height:135pt;flip:y;z-index:2">
            <v:textbox>
              <w:txbxContent>
                <w:p w:rsidR="0097071D" w:rsidRDefault="003F703C">
                  <w:r>
                    <w:t xml:space="preserve">● </w:t>
                  </w:r>
                  <w:r w:rsidR="0097071D">
                    <w:t>Определение факторов риска быстрого прогрессирования заболевания</w:t>
                  </w:r>
                  <w:r w:rsidR="00CE367E">
                    <w:t>.</w:t>
                  </w:r>
                </w:p>
                <w:p w:rsidR="0097071D" w:rsidRDefault="003F703C">
                  <w:r>
                    <w:t xml:space="preserve">● </w:t>
                  </w:r>
                  <w:r w:rsidR="0097071D">
                    <w:t xml:space="preserve">Немедикаментозное лечение (снижение веса, обучение пациентов, физические упражнения, защита суставов, ортопедические приспособления, локальная термотерапия при </w:t>
                  </w:r>
                  <w:proofErr w:type="spellStart"/>
                  <w:r w:rsidR="0097071D">
                    <w:t>остеоартрозе</w:t>
                  </w:r>
                  <w:proofErr w:type="spellEnd"/>
                  <w:r w:rsidR="0097071D">
                    <w:t xml:space="preserve"> коленных суставов)</w:t>
                  </w:r>
                  <w:r w:rsidR="00CE367E">
                    <w:t>.</w:t>
                  </w:r>
                </w:p>
                <w:p w:rsidR="0097071D" w:rsidRDefault="003F703C">
                  <w:r>
                    <w:t xml:space="preserve">● </w:t>
                  </w:r>
                  <w:r w:rsidR="0097071D">
                    <w:t xml:space="preserve">Медикаментозное лечение болевого синдрома: </w:t>
                  </w:r>
                </w:p>
                <w:p w:rsidR="0097071D" w:rsidRDefault="0097071D">
                  <w:r>
                    <w:t>Парацетамол или НПВП (</w:t>
                  </w:r>
                  <w:r>
                    <w:rPr>
                      <w:lang w:val="en-US"/>
                    </w:rPr>
                    <w:t>per</w:t>
                  </w:r>
                  <w:r w:rsidRPr="0097071D"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os</w:t>
                  </w:r>
                  <w:proofErr w:type="spellEnd"/>
                  <w:r w:rsidRPr="0097071D">
                    <w:t xml:space="preserve"> </w:t>
                  </w:r>
                  <w:r>
                    <w:t xml:space="preserve">или локально при </w:t>
                  </w:r>
                  <w:proofErr w:type="spellStart"/>
                  <w:r>
                    <w:t>остеоартрозе</w:t>
                  </w:r>
                  <w:proofErr w:type="spellEnd"/>
                  <w:r>
                    <w:t xml:space="preserve"> коленных суставов)</w:t>
                  </w:r>
                  <w:r w:rsidR="00CE367E">
                    <w:t>.</w:t>
                  </w:r>
                </w:p>
                <w:p w:rsidR="0097071D" w:rsidRDefault="003F703C">
                  <w:r>
                    <w:t xml:space="preserve">● </w:t>
                  </w:r>
                  <w:r w:rsidR="0097071D">
                    <w:t xml:space="preserve">При наличии факторов риска НПВП – </w:t>
                  </w:r>
                  <w:proofErr w:type="spellStart"/>
                  <w:r w:rsidR="0097071D">
                    <w:t>гастропатии</w:t>
                  </w:r>
                  <w:proofErr w:type="spellEnd"/>
                  <w:r w:rsidR="0097071D">
                    <w:t xml:space="preserve">: симптоматические средства медленного действия, НПВП локального применения (при </w:t>
                  </w:r>
                  <w:proofErr w:type="spellStart"/>
                  <w:r w:rsidR="0097071D">
                    <w:t>остеоартрозе</w:t>
                  </w:r>
                  <w:proofErr w:type="spellEnd"/>
                  <w:r w:rsidR="0097071D">
                    <w:t xml:space="preserve"> коленных суставов), </w:t>
                  </w:r>
                  <w:proofErr w:type="spellStart"/>
                  <w:r w:rsidR="0097071D">
                    <w:t>коксибы</w:t>
                  </w:r>
                  <w:proofErr w:type="spellEnd"/>
                  <w:r w:rsidR="0097071D">
                    <w:t xml:space="preserve"> или НПВП </w:t>
                  </w:r>
                  <w:r w:rsidR="0097071D">
                    <w:rPr>
                      <w:lang w:val="en-US"/>
                    </w:rPr>
                    <w:t>per</w:t>
                  </w:r>
                  <w:r w:rsidR="0097071D" w:rsidRPr="0097071D">
                    <w:t xml:space="preserve"> </w:t>
                  </w:r>
                  <w:proofErr w:type="spellStart"/>
                  <w:r w:rsidR="0097071D">
                    <w:rPr>
                      <w:lang w:val="en-US"/>
                    </w:rPr>
                    <w:t>os</w:t>
                  </w:r>
                  <w:proofErr w:type="spellEnd"/>
                  <w:r w:rsidR="0097071D">
                    <w:t xml:space="preserve"> в сочетании с ингибиторами протонной помпы</w:t>
                  </w:r>
                  <w:r w:rsidR="00CE367E">
                    <w:t>.</w:t>
                  </w:r>
                </w:p>
                <w:p w:rsidR="0097071D" w:rsidRDefault="0097071D"/>
              </w:txbxContent>
            </v:textbox>
          </v:rect>
        </w:pict>
      </w:r>
    </w:p>
    <w:p w:rsidR="00A43367" w:rsidRDefault="00A43367" w:rsidP="0090099F">
      <w:pPr>
        <w:rPr>
          <w:sz w:val="28"/>
          <w:szCs w:val="28"/>
        </w:rPr>
      </w:pPr>
    </w:p>
    <w:p w:rsidR="00A43367" w:rsidRDefault="00A43367" w:rsidP="0090099F">
      <w:pPr>
        <w:rPr>
          <w:sz w:val="28"/>
          <w:szCs w:val="28"/>
        </w:rPr>
      </w:pPr>
    </w:p>
    <w:p w:rsidR="00A43367" w:rsidRDefault="00A43367" w:rsidP="0090099F">
      <w:pPr>
        <w:rPr>
          <w:sz w:val="28"/>
          <w:szCs w:val="28"/>
        </w:rPr>
      </w:pPr>
    </w:p>
    <w:p w:rsidR="00A43367" w:rsidRDefault="00A43367" w:rsidP="0090099F">
      <w:pPr>
        <w:rPr>
          <w:sz w:val="28"/>
          <w:szCs w:val="28"/>
        </w:rPr>
      </w:pPr>
    </w:p>
    <w:p w:rsidR="00A43367" w:rsidRDefault="00A43367" w:rsidP="0090099F">
      <w:pPr>
        <w:rPr>
          <w:sz w:val="28"/>
          <w:szCs w:val="28"/>
        </w:rPr>
      </w:pPr>
    </w:p>
    <w:p w:rsidR="00A43367" w:rsidRDefault="00A43367" w:rsidP="0090099F">
      <w:pPr>
        <w:rPr>
          <w:sz w:val="28"/>
          <w:szCs w:val="28"/>
        </w:rPr>
      </w:pPr>
    </w:p>
    <w:p w:rsidR="00A43367" w:rsidRDefault="00A43367" w:rsidP="0090099F">
      <w:pPr>
        <w:rPr>
          <w:sz w:val="28"/>
          <w:szCs w:val="28"/>
        </w:rPr>
      </w:pPr>
    </w:p>
    <w:p w:rsidR="00A43367" w:rsidRDefault="00A43367" w:rsidP="0090099F">
      <w:pPr>
        <w:rPr>
          <w:sz w:val="28"/>
          <w:szCs w:val="28"/>
        </w:rPr>
      </w:pPr>
    </w:p>
    <w:p w:rsidR="00A43367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67" style="position:absolute;margin-left:237.6pt;margin-top:3.4pt;width:15.6pt;height:27pt;z-index:21"/>
        </w:pict>
      </w:r>
    </w:p>
    <w:p w:rsidR="00A43367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margin-left:19.2pt;margin-top:14.3pt;width:463.2pt;height:27pt;flip:y;z-index:3">
            <v:textbox>
              <w:txbxContent>
                <w:p w:rsidR="00A43367" w:rsidRDefault="00A43367">
                  <w:r>
                    <w:t>Повторное посещение врача через 1 – 6 недель  в зависимости от тяжести заболевания</w:t>
                  </w:r>
                </w:p>
              </w:txbxContent>
            </v:textbox>
          </v:rect>
        </w:pict>
      </w:r>
    </w:p>
    <w:p w:rsidR="00A43367" w:rsidRDefault="00A43367" w:rsidP="0090099F">
      <w:pPr>
        <w:rPr>
          <w:sz w:val="28"/>
          <w:szCs w:val="28"/>
        </w:rPr>
      </w:pPr>
    </w:p>
    <w:p w:rsidR="0097071D" w:rsidRPr="0090099F" w:rsidRDefault="002A2022" w:rsidP="009009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67" style="position:absolute;margin-left:412.8pt;margin-top:63.15pt;width:16.8pt;height:1in;z-index:25"/>
        </w:pict>
      </w:r>
      <w:r>
        <w:rPr>
          <w:noProof/>
          <w:sz w:val="28"/>
          <w:szCs w:val="28"/>
        </w:rPr>
        <w:pict>
          <v:shape id="_x0000_s1089" type="#_x0000_t67" style="position:absolute;margin-left:414pt;margin-top:9.15pt;width:15.6pt;height:27pt;z-index:31"/>
        </w:pict>
      </w:r>
      <w:r>
        <w:rPr>
          <w:noProof/>
          <w:sz w:val="28"/>
          <w:szCs w:val="28"/>
        </w:rPr>
        <w:pict>
          <v:rect id="_x0000_s1041" style="position:absolute;margin-left:354pt;margin-top:36.15pt;width:126pt;height:27pt;flip:y;z-index:9">
            <v:textbox style="mso-next-textbox:#_x0000_s1041">
              <w:txbxContent>
                <w:p w:rsidR="00A43367" w:rsidRDefault="00A43367">
                  <w:r>
                    <w:t>Лечение эффективно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87" type="#_x0000_t67" style="position:absolute;margin-left:97.2pt;margin-top:108.15pt;width:16.8pt;height:27pt;z-index:29"/>
        </w:pict>
      </w:r>
      <w:r>
        <w:rPr>
          <w:noProof/>
          <w:sz w:val="28"/>
          <w:szCs w:val="28"/>
        </w:rPr>
        <w:pict>
          <v:rect id="_x0000_s1048" style="position:absolute;margin-left:178.8pt;margin-top:324.15pt;width:268.8pt;height:27pt;flip:y;z-index:16">
            <v:textbox style="mso-next-textbox:#_x0000_s1048">
              <w:txbxContent>
                <w:p w:rsidR="003620B4" w:rsidRDefault="003620B4" w:rsidP="00EA646D">
                  <w:pPr>
                    <w:jc w:val="center"/>
                  </w:pPr>
                  <w:r>
                    <w:t xml:space="preserve">Повторное посещение врача </w:t>
                  </w:r>
                  <w:r w:rsidR="00966D26">
                    <w:t xml:space="preserve">через </w:t>
                  </w:r>
                  <w:r>
                    <w:t>1 – 4 недели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08" type="#_x0000_t67" style="position:absolute;margin-left:192pt;margin-top:351.15pt;width:15.6pt;height:18pt;z-index:39"/>
        </w:pict>
      </w:r>
      <w:r>
        <w:rPr>
          <w:noProof/>
          <w:sz w:val="28"/>
          <w:szCs w:val="28"/>
        </w:rPr>
        <w:pict>
          <v:rect id="_x0000_s1049" style="position:absolute;margin-left:-10.8pt;margin-top:459.15pt;width:274.8pt;height:21.75pt;flip:y;z-index:17">
            <v:textbox style="mso-next-textbox:#_x0000_s1049;mso-fit-shape-to-text:t">
              <w:txbxContent>
                <w:p w:rsidR="003620B4" w:rsidRDefault="003620B4">
                  <w:r>
                    <w:t>Нет, сохраняются боль и ограничение активности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5" style="position:absolute;margin-left:-9.6pt;margin-top:135.15pt;width:146.4pt;height:27pt;flip:y;z-index:4">
            <v:textbox style="mso-next-textbox:#_x0000_s1035">
              <w:txbxContent>
                <w:p w:rsidR="00A43367" w:rsidRDefault="00A43367">
                  <w:r>
                    <w:t>Диагноз не подтвержден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5" type="#_x0000_t13" style="position:absolute;margin-left:362.4pt;margin-top:468.15pt;width:54pt;height:9pt;z-index:33"/>
        </w:pict>
      </w:r>
      <w:r>
        <w:rPr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06" type="#_x0000_t68" style="position:absolute;margin-left:490.8pt;margin-top:288.15pt;width:16.8pt;height:81pt;z-index:37"/>
        </w:pict>
      </w:r>
      <w:r>
        <w:rPr>
          <w:noProof/>
          <w:sz w:val="28"/>
          <w:szCs w:val="28"/>
        </w:rPr>
        <w:pict>
          <v:shape id="_x0000_s1061" type="#_x0000_t67" style="position:absolute;margin-left:28.8pt;margin-top:162.15pt;width:18pt;height:117pt;z-index:24"/>
        </w:pict>
      </w:r>
      <w:r>
        <w:rPr>
          <w:noProof/>
          <w:sz w:val="28"/>
          <w:szCs w:val="28"/>
        </w:rPr>
        <w:pict>
          <v:shape id="_x0000_s1107" type="#_x0000_t68" style="position:absolute;margin-left:28.8pt;margin-top:315.15pt;width:16.8pt;height:2in;z-index:38"/>
        </w:pict>
      </w:r>
      <w:r>
        <w:rPr>
          <w:noProof/>
          <w:sz w:val="28"/>
          <w:szCs w:val="28"/>
        </w:rPr>
        <w:pict>
          <v:shape id="_x0000_s1063" type="#_x0000_t67" style="position:absolute;margin-left:141.6pt;margin-top:63.15pt;width:15.6pt;height:18pt;z-index:26"/>
        </w:pict>
      </w:r>
      <w:r>
        <w:rPr>
          <w:noProof/>
          <w:sz w:val="28"/>
          <w:szCs w:val="28"/>
        </w:rPr>
        <w:pict>
          <v:shape id="_x0000_s1088" type="#_x0000_t67" style="position:absolute;margin-left:142.8pt;margin-top:9.15pt;width:16.8pt;height:27pt;z-index:30"/>
        </w:pict>
      </w:r>
      <w:r>
        <w:rPr>
          <w:noProof/>
          <w:sz w:val="28"/>
          <w:szCs w:val="28"/>
        </w:rPr>
        <w:pict>
          <v:rect id="_x0000_s1039" style="position:absolute;margin-left:336pt;margin-top:135.15pt;width:202.8pt;height:153pt;flip:y;z-index:7">
            <v:textbox style="mso-next-textbox:#_x0000_s1039">
              <w:txbxContent>
                <w:p w:rsidR="003620B4" w:rsidRDefault="003F703C">
                  <w:r>
                    <w:t xml:space="preserve">● </w:t>
                  </w:r>
                  <w:r w:rsidR="003620B4">
                    <w:t>Наблюдение с частотой 1 раз в 4 -</w:t>
                  </w:r>
                  <w:r w:rsidR="004C7C26">
                    <w:t xml:space="preserve"> </w:t>
                  </w:r>
                  <w:r w:rsidR="003620B4">
                    <w:t>6 месяцев</w:t>
                  </w:r>
                </w:p>
                <w:p w:rsidR="003620B4" w:rsidRDefault="003F703C">
                  <w:r>
                    <w:t xml:space="preserve">● </w:t>
                  </w:r>
                  <w:r w:rsidR="003620B4">
                    <w:t>Контроль соблюдения рекомендаций, контроль функции суставов и ежедневной активности</w:t>
                  </w:r>
                </w:p>
                <w:p w:rsidR="003620B4" w:rsidRDefault="003F703C">
                  <w:r>
                    <w:t xml:space="preserve">● </w:t>
                  </w:r>
                  <w:r w:rsidR="003620B4">
                    <w:t>При постоянном применении НПВП</w:t>
                  </w:r>
                  <w:r w:rsidR="00EA646D">
                    <w:t xml:space="preserve"> – контроль общего анализа крови, кал на скрытую кровь, функциональные пробы печени и почек, контроль АД.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4" style="position:absolute;margin-left:100.95pt;margin-top:189.15pt;width:208.8pt;height:108pt;flip:y;z-index:12">
            <v:textbox style="mso-next-textbox:#_x0000_s1044">
              <w:txbxContent>
                <w:p w:rsidR="00A43367" w:rsidRDefault="003F703C">
                  <w:r>
                    <w:t xml:space="preserve">● </w:t>
                  </w:r>
                  <w:r w:rsidR="00A43367">
                    <w:t xml:space="preserve">Смена НПВП или смена парацетамола на НПВП, </w:t>
                  </w:r>
                  <w:proofErr w:type="spellStart"/>
                  <w:r w:rsidR="00A43367">
                    <w:t>трамал</w:t>
                  </w:r>
                  <w:proofErr w:type="spellEnd"/>
                </w:p>
                <w:p w:rsidR="00A43367" w:rsidRDefault="003F703C">
                  <w:r>
                    <w:t xml:space="preserve">● </w:t>
                  </w:r>
                  <w:r w:rsidR="00A43367">
                    <w:t>Контроль и коррекция ежедневной физической активности</w:t>
                  </w:r>
                </w:p>
                <w:p w:rsidR="00A43367" w:rsidRDefault="003F703C">
                  <w:r>
                    <w:t>●</w:t>
                  </w:r>
                  <w:r w:rsidR="00A43367">
                    <w:t>Мониторинг выполнения прежних рекомендаций</w:t>
                  </w:r>
                </w:p>
                <w:p w:rsidR="00A43367" w:rsidRDefault="003F703C">
                  <w:r>
                    <w:t xml:space="preserve">● </w:t>
                  </w:r>
                  <w:r w:rsidR="00A43367">
                    <w:t>Психологическая поддержка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98" type="#_x0000_t67" style="position:absolute;margin-left:150pt;margin-top:441.15pt;width:15.6pt;height:18pt;z-index:34"/>
        </w:pict>
      </w:r>
      <w:r>
        <w:rPr>
          <w:noProof/>
          <w:sz w:val="28"/>
          <w:szCs w:val="28"/>
        </w:rPr>
        <w:pict>
          <v:shape id="_x0000_s1100" type="#_x0000_t67" style="position:absolute;margin-left:339.6pt;margin-top:441.15pt;width:15.6pt;height:18pt;z-index:35"/>
        </w:pict>
      </w:r>
      <w:r>
        <w:rPr>
          <w:noProof/>
          <w:sz w:val="28"/>
          <w:szCs w:val="28"/>
        </w:rPr>
        <w:pict>
          <v:shape id="_x0000_s1090" type="#_x0000_t67" style="position:absolute;margin-left:424.8pt;margin-top:351.15pt;width:14.4pt;height:18pt;z-index:32"/>
        </w:pict>
      </w:r>
      <w:r>
        <w:rPr>
          <w:noProof/>
          <w:sz w:val="28"/>
          <w:szCs w:val="28"/>
        </w:rPr>
        <w:pict>
          <v:shape id="_x0000_s1101" type="#_x0000_t67" style="position:absolute;margin-left:190.8pt;margin-top:396.15pt;width:15.6pt;height:18pt;z-index:36"/>
        </w:pict>
      </w:r>
      <w:r>
        <w:rPr>
          <w:noProof/>
          <w:sz w:val="28"/>
          <w:szCs w:val="28"/>
        </w:rPr>
        <w:pict>
          <v:shape id="_x0000_s1064" type="#_x0000_t67" style="position:absolute;margin-left:238.8pt;margin-top:297.15pt;width:18pt;height:27pt;z-index:27"/>
        </w:pict>
      </w:r>
      <w:r>
        <w:rPr>
          <w:noProof/>
          <w:sz w:val="28"/>
          <w:szCs w:val="28"/>
        </w:rPr>
        <w:pict>
          <v:shape id="_x0000_s1060" type="#_x0000_t67" style="position:absolute;margin-left:234pt;margin-top:162.15pt;width:16.8pt;height:27pt;z-index:23"/>
        </w:pict>
      </w:r>
      <w:r>
        <w:rPr>
          <w:noProof/>
          <w:sz w:val="28"/>
          <w:szCs w:val="28"/>
        </w:rPr>
        <w:pict>
          <v:shape id="_x0000_s1066" type="#_x0000_t67" style="position:absolute;margin-left:194.4pt;margin-top:108.15pt;width:16.8pt;height:27pt;z-index:28"/>
        </w:pict>
      </w:r>
      <w:r>
        <w:rPr>
          <w:noProof/>
          <w:sz w:val="28"/>
          <w:szCs w:val="28"/>
        </w:rPr>
        <w:pict>
          <v:rect id="_x0000_s1040" style="position:absolute;margin-left:75.6pt;margin-top:81.15pt;width:146.4pt;height:27pt;flip:y;z-index:8">
            <v:textbox style="mso-next-textbox:#_x0000_s1040">
              <w:txbxContent>
                <w:p w:rsidR="00A43367" w:rsidRDefault="00A43367">
                  <w:r>
                    <w:t>Рентгенография суставов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7" style="position:absolute;margin-left:19.2pt;margin-top:36.15pt;width:260.4pt;height:27pt;flip:y;z-index:5">
            <v:textbox style="mso-next-textbox:#_x0000_s1037">
              <w:txbxContent>
                <w:p w:rsidR="00A43367" w:rsidRDefault="00A43367">
                  <w:r>
                    <w:t>Лечение неэффективно или боль рецидивирует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5" style="position:absolute;margin-left:-9.6pt;margin-top:279.15pt;width:88.8pt;height:35.55pt;flip:y;z-index:13">
            <v:textbox style="mso-next-textbox:#_x0000_s1045;mso-fit-shape-to-text:t">
              <w:txbxContent>
                <w:p w:rsidR="00A43367" w:rsidRDefault="00A43367">
                  <w:r>
                    <w:t xml:space="preserve">Направить к ревматологу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7" style="position:absolute;margin-left:124.8pt;margin-top:369.15pt;width:142.8pt;height:27pt;flip:y;z-index:15">
            <v:textbox style="mso-next-textbox:#_x0000_s1047">
              <w:txbxContent>
                <w:p w:rsidR="003620B4" w:rsidRDefault="003620B4" w:rsidP="003620B4">
                  <w:r>
                    <w:t>Лечение  не эффективно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1" style="position:absolute;margin-left:417.6pt;margin-top:450.15pt;width:123.6pt;height:35.55pt;flip:y;z-index:18">
            <v:textbox style="mso-next-textbox:#_x0000_s1051;mso-fit-shape-to-text:t">
              <w:txbxContent>
                <w:p w:rsidR="003620B4" w:rsidRDefault="003620B4">
                  <w:r>
                    <w:t>Внутрисуставные инъекции ГКС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3" style="position:absolute;margin-left:123.6pt;margin-top:414.15pt;width:253.2pt;height:27pt;flip:y;z-index:11">
            <v:textbox style="mso-next-textbox:#_x0000_s1043">
              <w:txbxContent>
                <w:p w:rsidR="003620B4" w:rsidRDefault="003620B4">
                  <w:r>
                    <w:t>Оценить наличие выпота в коленном суставе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2" style="position:absolute;margin-left:330pt;margin-top:459.15pt;width:31.2pt;height:21.75pt;flip:y;z-index:10">
            <v:textbox style="mso-next-textbox:#_x0000_s1042;mso-fit-shape-to-text:t">
              <w:txbxContent>
                <w:p w:rsidR="003620B4" w:rsidRDefault="003620B4">
                  <w: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8" style="position:absolute;margin-left:165.6pt;margin-top:135.15pt;width:2in;height:27pt;flip:y;z-index:6">
            <v:textbox style="mso-next-textbox:#_x0000_s1038">
              <w:txbxContent>
                <w:p w:rsidR="00A43367" w:rsidRDefault="00A43367">
                  <w:r>
                    <w:t>Диагноз подтвержден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6" style="position:absolute;margin-left:415.2pt;margin-top:369.15pt;width:123.6pt;height:21.75pt;flip:y;z-index:14">
            <v:textbox style="mso-next-textbox:#_x0000_s1046;mso-fit-shape-to-text:t">
              <w:txbxContent>
                <w:p w:rsidR="003620B4" w:rsidRDefault="003620B4" w:rsidP="003620B4">
                  <w:r>
                    <w:t>Лечение эффективно</w:t>
                  </w:r>
                </w:p>
              </w:txbxContent>
            </v:textbox>
          </v:rect>
        </w:pict>
      </w:r>
    </w:p>
    <w:sectPr w:rsidR="0097071D" w:rsidRPr="0090099F" w:rsidSect="009009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drawingGridHorizontalSpacing w:val="24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5D6"/>
    <w:rsid w:val="00114AAC"/>
    <w:rsid w:val="00160609"/>
    <w:rsid w:val="00223434"/>
    <w:rsid w:val="00233641"/>
    <w:rsid w:val="002A2022"/>
    <w:rsid w:val="003029BA"/>
    <w:rsid w:val="00342FA0"/>
    <w:rsid w:val="003620B4"/>
    <w:rsid w:val="003F703C"/>
    <w:rsid w:val="004233CC"/>
    <w:rsid w:val="004C7C26"/>
    <w:rsid w:val="005B1F72"/>
    <w:rsid w:val="00633DD5"/>
    <w:rsid w:val="0090099F"/>
    <w:rsid w:val="00966D26"/>
    <w:rsid w:val="0097071D"/>
    <w:rsid w:val="009733D9"/>
    <w:rsid w:val="00986840"/>
    <w:rsid w:val="00A43367"/>
    <w:rsid w:val="00AB3CEC"/>
    <w:rsid w:val="00C26113"/>
    <w:rsid w:val="00CE367E"/>
    <w:rsid w:val="00D251C0"/>
    <w:rsid w:val="00E325D6"/>
    <w:rsid w:val="00EA646D"/>
    <w:rsid w:val="00F4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Ольга</cp:lastModifiedBy>
  <cp:revision>2</cp:revision>
  <dcterms:created xsi:type="dcterms:W3CDTF">2013-10-24T07:06:00Z</dcterms:created>
  <dcterms:modified xsi:type="dcterms:W3CDTF">2013-10-24T07:06:00Z</dcterms:modified>
</cp:coreProperties>
</file>