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Анализ обращений граждан в Министерство здравоохранения Удмуртской Республики за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6 месяцев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2025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года для размещения на сайте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center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0"/>
        <w:jc w:val="center"/>
        <w:spacing w:before="0" w:after="100" w:afterAutospacing="1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Анализ письменных обращений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За 6 месяцев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2025 года в Министерство здравоохранения Удмуртской Республики поступило 2116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письменных обращений граждан, что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меньше, чем за аналогичный период 2024 года.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Снижение количества обращений связано с вступлением 30 марта 2025 года в силу изменений в Федеральный закон «О порядке ра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ссмотрения обращений граждан Российской Федерации», предусмотренных Федеральным законом от 28.12.2024 № 547-ФЗ. Подача обращений граждан в форме электронного документа с использованием официального сайта в информационно-телекоммуникационной сети «Интернет»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стала осуществляться только после авторизации через Единую систему идентификации и аутентификации (ЕСИА), в следствие которого электронная почта перестала использоваться как канал связи для приема обращений граждан.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Основными причинами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обращений граждан продолжают оставаться вопросы соблюдения этики и деонтологии (30,3 %), организации и доступности медицинской помощи (32,3%), качества оказания медицинской помощи (2,9%), обеспечения лекарственными средствами льготных категорий граждан (6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%), направление на прохождение медико-социальной экспертизы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(6,2%). Так же большое количество обращений, содержащих слова благодарности за труд медицинских работников (8,1%).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За 6 месяцев 2025 года по результатам рассмотрения обращений заявителям была оказана помощь в решении пр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облем, указанных в обращениях (направлены на лечение в медицинские организации республики, проконсультированы, направлены на обследования, направлены на лечение за пределы республики в федеральные центры, обеспечены бесплатными лекарственными препаратами).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567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В медицинских организациях Удмуртской Республики по результатам рассмотрения обращений граждан проведены конференции, учебы с медицинскими работниками по соблюдению принципов этики и деонтологии при общении с пациентами и их родственниками, п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о соблюдению сроков оказания медицинской помощи, установленных Территориальной программой госгарантий и пр., применены меры дисциплинарного взыскания. Всем заявителям направлены письменные разъяснения по интересующим вопросам в установленные законом сроки.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720"/>
        <w:jc w:val="center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284"/>
        <w:jc w:val="center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  <w:t xml:space="preserve">Анализ устных обращений граждан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284"/>
        <w:jc w:val="center"/>
        <w:spacing w:before="0"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bidi="ru-RU"/>
        </w:rPr>
      </w:r>
    </w:p>
    <w:p>
      <w:pPr>
        <w:ind w:left="0" w:right="0" w:firstLine="426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За 6 месяцев 2025 года специалистами Министерства здравоохранения Удмуртской Республики принято на личном приеме 142 человека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(из них 13 человек принято на личном приеме министром, заместителями министра).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426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Среди причин устных обращений преобладают вопросы доступности и организации медицинской помощи, соблюдения принципов этики и деон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тологии, лекарственного обеспечения льготных категорий граждан, вопросы содействия в госпитализации, направления медицинской документации на медико-социальную экспертизу, качества медицинской помощи, направления на лечение за пределы Удмуртской Республики.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284"/>
        <w:jc w:val="left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720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p>
      <w:pPr>
        <w:ind w:left="0" w:right="0" w:firstLine="720"/>
        <w:jc w:val="both"/>
        <w:spacing w:before="0" w:after="160" w:line="278" w:lineRule="auto"/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</w:r>
    </w:p>
    <w:sectPr>
      <w:footnotePr>
        <w:pos w:val="pageBottom"/>
      </w:footnotePr>
      <w:endnotePr/>
      <w:type w:val="nextPage"/>
      <w:pgSz w:w="12240" w:h="15840" w:orient="portrait"/>
      <w:pgMar w:top="709" w:right="850" w:bottom="993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  <w:r>
        <w:rPr>
          <w:rFonts w:ascii="Times New Roman" w:hAnsi="Times New Roman" w:eastAsia="Times New Roman" w:cs="Times New Roman"/>
          <w:lang w:val="ru-RU" w:bidi="ru-RU"/>
        </w:rPr>
      </w:r>
    </w:p>
  </w:endnote>
  <w:endnote w:type="continuationSeparator" w:id="0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  <w:r>
        <w:rPr>
          <w:rFonts w:ascii="Times New Roman" w:hAnsi="Times New Roman" w:eastAsia="Times New Roman" w:cs="Times New Roman"/>
          <w:lang w:val="ru-RU" w:bidi="ru-RU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  <w:r>
        <w:rPr>
          <w:rFonts w:ascii="Times New Roman" w:hAnsi="Times New Roman" w:eastAsia="Times New Roman" w:cs="Times New Roman"/>
          <w:lang w:val="ru-RU" w:bidi="ru-RU"/>
        </w:rPr>
      </w:r>
    </w:p>
  </w:footnote>
  <w:footnote w:type="continuationSeparator" w:id="0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continuationSeparator/>
      </w:r>
      <w:r>
        <w:rPr>
          <w:rFonts w:ascii="Times New Roman" w:hAnsi="Times New Roman" w:eastAsia="Times New Roman" w:cs="Times New Roman"/>
          <w:lang w:val="ru-RU" w:bidi="ru-RU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zh-CN" w:bidi="ru-RU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4"/>
    <w:link w:val="42"/>
    <w:uiPriority w:val="99"/>
  </w:style>
  <w:style w:type="paragraph" w:styleId="44">
    <w:name w:val="Footer"/>
    <w:basedOn w:val="65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4"/>
    <w:link w:val="44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uiPriority w:val="0"/>
    <w:qFormat/>
    <w:pPr>
      <w:ind w:left="0" w:right="0"/>
      <w:jc w:val="left"/>
      <w:spacing w:before="0" w:after="160" w:line="278" w:lineRule="auto"/>
    </w:pPr>
    <w:rPr>
      <w:rFonts w:ascii="Calibri" w:hAnsi="Calibri" w:eastAsia="Calibri" w:cs="Calibri"/>
      <w:sz w:val="24"/>
      <w:szCs w:val="24"/>
      <w:lang w:val="ru-RU" w:bidi="ru-RU"/>
    </w:rPr>
  </w:style>
  <w:style w:type="character" w:styleId="654" w:default="1">
    <w:name w:val="Default Paragraph Font"/>
    <w:uiPriority w:val="1"/>
    <w:unhideWhenUsed/>
    <w:rPr>
      <w:rFonts w:ascii="Times New Roman" w:hAnsi="Times New Roman" w:eastAsia="Times New Roman" w:cs="Times New Roman"/>
      <w:sz w:val="24"/>
      <w:szCs w:val="24"/>
      <w:lang w:val="ru-RU" w:bidi="ru-RU"/>
    </w:rPr>
  </w:style>
  <w:style w:type="table" w:styleId="655" w:default="1">
    <w:name w:val="Normal Table"/>
    <w:semiHidden/>
    <w:unhideWhenUsed/>
    <w:pPr>
      <w:ind w:left="0" w:right="0"/>
      <w:jc w:val="left"/>
      <w:spacing w:before="0" w:after="160" w:line="278" w:lineRule="auto"/>
    </w:pPr>
    <w:rPr>
      <w:rFonts w:ascii="Calibri" w:hAnsi="Calibri" w:eastAsia="Calibri" w:cs="Calibri"/>
      <w:sz w:val="24"/>
      <w:szCs w:val="24"/>
      <w:lang w:val="ru-RU" w:bidi="ru-RU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shd w:val="clear" w:color="000000" w:fill="000000"/>
      <w:tblLayout w:type="fixed"/>
      <w:tblCellMar>
        <w:left w:w="108" w:type="dxa"/>
        <w:right w:w="108" w:type="dxa"/>
      </w:tblCellMar>
    </w:tblPr>
  </w:style>
  <w:style w:type="numbering" w:styleId="74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iakimets_elv</cp:lastModifiedBy>
  <cp:revision>1</cp:revision>
  <dcterms:modified xsi:type="dcterms:W3CDTF">2025-08-27T10:39:28Z</dcterms:modified>
</cp:coreProperties>
</file>